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3BD452">
      <w:pPr>
        <w:keepNext w:val="0"/>
        <w:keepLines w:val="0"/>
        <w:pageBreakBefore w:val="0"/>
        <w:kinsoku/>
        <w:wordWrap/>
        <w:overflowPunct/>
        <w:topLinePunct w:val="0"/>
        <w:bidi w:val="0"/>
        <w:adjustRightInd/>
        <w:snapToGrid/>
        <w:spacing w:line="360" w:lineRule="auto"/>
        <w:ind w:firstLine="422" w:firstLineChars="200"/>
        <w:rPr>
          <w:rFonts w:hint="eastAsia" w:ascii="宋体" w:hAnsi="宋体" w:eastAsia="宋体" w:cs="宋体"/>
          <w:b/>
          <w:bCs/>
          <w:sz w:val="22"/>
          <w:szCs w:val="22"/>
        </w:rPr>
      </w:pPr>
      <w:bookmarkStart w:id="0" w:name="_GoBack"/>
      <w:r>
        <w:rPr>
          <w:rFonts w:hint="eastAsia" w:ascii="宋体" w:hAnsi="宋体" w:cs="宋体"/>
          <w:b/>
          <w:bCs/>
          <w:color w:val="auto"/>
        </w:rPr>
        <w:t>招标公告附件1：</w:t>
      </w:r>
    </w:p>
    <w:bookmarkEnd w:id="0"/>
    <w:p w14:paraId="77D5DF76">
      <w:pPr>
        <w:keepNext w:val="0"/>
        <w:keepLines w:val="0"/>
        <w:pageBreakBefore w:val="0"/>
        <w:kinsoku/>
        <w:wordWrap/>
        <w:overflowPunct/>
        <w:topLinePunct w:val="0"/>
        <w:bidi w:val="0"/>
        <w:adjustRightInd/>
        <w:snapToGrid/>
        <w:spacing w:line="360" w:lineRule="auto"/>
        <w:ind w:firstLine="440" w:firstLineChars="200"/>
        <w:rPr>
          <w:rFonts w:hint="eastAsia" w:ascii="宋体" w:hAnsi="宋体" w:eastAsia="宋体" w:cs="宋体"/>
          <w:b w:val="0"/>
          <w:bCs w:val="0"/>
          <w:sz w:val="22"/>
          <w:szCs w:val="22"/>
        </w:rPr>
      </w:pPr>
      <w:r>
        <w:rPr>
          <w:rFonts w:hint="eastAsia" w:ascii="宋体" w:hAnsi="宋体" w:eastAsia="宋体" w:cs="宋体"/>
          <w:b w:val="0"/>
          <w:bCs w:val="0"/>
          <w:sz w:val="22"/>
          <w:szCs w:val="22"/>
        </w:rPr>
        <w:t>本项目分为3个包组，各包组</w:t>
      </w:r>
      <w:r>
        <w:rPr>
          <w:rFonts w:hint="eastAsia" w:ascii="宋体" w:hAnsi="宋体" w:eastAsia="宋体" w:cs="宋体"/>
          <w:sz w:val="21"/>
          <w:szCs w:val="21"/>
        </w:rPr>
        <w:t>招标预算</w:t>
      </w:r>
      <w:r>
        <w:rPr>
          <w:rFonts w:hint="eastAsia" w:ascii="宋体" w:hAnsi="宋体" w:eastAsia="宋体" w:cs="宋体"/>
          <w:sz w:val="21"/>
          <w:szCs w:val="21"/>
          <w:lang w:val="en-US" w:eastAsia="zh-CN"/>
        </w:rPr>
        <w:t>及</w:t>
      </w:r>
      <w:r>
        <w:rPr>
          <w:rFonts w:hint="eastAsia" w:ascii="宋体" w:hAnsi="宋体" w:eastAsia="宋体" w:cs="宋体"/>
          <w:sz w:val="21"/>
          <w:szCs w:val="21"/>
        </w:rPr>
        <w:t>入围中标人数量</w:t>
      </w:r>
      <w:r>
        <w:rPr>
          <w:rFonts w:hint="eastAsia" w:ascii="宋体" w:hAnsi="宋体" w:eastAsia="宋体" w:cs="宋体"/>
          <w:b w:val="0"/>
          <w:bCs w:val="0"/>
          <w:sz w:val="22"/>
          <w:szCs w:val="22"/>
        </w:rPr>
        <w:t>详见下表</w:t>
      </w:r>
    </w:p>
    <w:tbl>
      <w:tblPr>
        <w:tblStyle w:val="3"/>
        <w:tblW w:w="563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45"/>
        <w:gridCol w:w="2371"/>
        <w:gridCol w:w="1985"/>
        <w:gridCol w:w="4007"/>
      </w:tblGrid>
      <w:tr w14:paraId="71CCA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648" w:type="pct"/>
            <w:noWrap w:val="0"/>
            <w:vAlign w:val="center"/>
          </w:tcPr>
          <w:p w14:paraId="3836747D">
            <w:pPr>
              <w:pStyle w:val="5"/>
              <w:keepNext w:val="0"/>
              <w:keepLines w:val="0"/>
              <w:pageBreakBefore w:val="0"/>
              <w:kinsoku/>
              <w:wordWrap/>
              <w:overflowPunct/>
              <w:topLinePunct w:val="0"/>
              <w:bidi w:val="0"/>
              <w:adjustRightInd/>
              <w:snapToGrid/>
              <w:spacing w:line="360" w:lineRule="auto"/>
              <w:ind w:firstLine="0" w:firstLineChars="0"/>
              <w:jc w:val="center"/>
              <w:rPr>
                <w:rFonts w:hint="eastAsia" w:ascii="宋体" w:hAnsi="宋体" w:eastAsia="宋体" w:cs="宋体"/>
                <w:sz w:val="21"/>
                <w:szCs w:val="21"/>
              </w:rPr>
            </w:pPr>
            <w:r>
              <w:rPr>
                <w:rFonts w:hint="eastAsia" w:ascii="宋体" w:hAnsi="宋体" w:eastAsia="宋体" w:cs="宋体"/>
                <w:sz w:val="21"/>
                <w:szCs w:val="21"/>
              </w:rPr>
              <w:t>包组号</w:t>
            </w:r>
          </w:p>
        </w:tc>
        <w:tc>
          <w:tcPr>
            <w:tcW w:w="1234" w:type="pct"/>
            <w:noWrap w:val="0"/>
            <w:vAlign w:val="center"/>
          </w:tcPr>
          <w:p w14:paraId="2E126A14">
            <w:pPr>
              <w:pStyle w:val="5"/>
              <w:keepNext w:val="0"/>
              <w:keepLines w:val="0"/>
              <w:pageBreakBefore w:val="0"/>
              <w:kinsoku/>
              <w:wordWrap/>
              <w:overflowPunct/>
              <w:topLinePunct w:val="0"/>
              <w:bidi w:val="0"/>
              <w:adjustRightInd/>
              <w:snapToGrid/>
              <w:spacing w:line="360" w:lineRule="auto"/>
              <w:ind w:firstLine="0" w:firstLineChars="0"/>
              <w:jc w:val="center"/>
              <w:rPr>
                <w:rFonts w:hint="eastAsia" w:ascii="宋体" w:hAnsi="宋体" w:eastAsia="宋体" w:cs="宋体"/>
                <w:sz w:val="21"/>
                <w:szCs w:val="21"/>
              </w:rPr>
            </w:pPr>
            <w:r>
              <w:rPr>
                <w:rFonts w:hint="eastAsia" w:ascii="宋体" w:hAnsi="宋体" w:eastAsia="宋体" w:cs="宋体"/>
                <w:sz w:val="21"/>
                <w:szCs w:val="21"/>
              </w:rPr>
              <w:t>包组名称</w:t>
            </w:r>
          </w:p>
        </w:tc>
        <w:tc>
          <w:tcPr>
            <w:tcW w:w="1033" w:type="pct"/>
            <w:noWrap w:val="0"/>
            <w:vAlign w:val="center"/>
          </w:tcPr>
          <w:p w14:paraId="5940BF99">
            <w:pPr>
              <w:pStyle w:val="5"/>
              <w:keepNext w:val="0"/>
              <w:keepLines w:val="0"/>
              <w:pageBreakBefore w:val="0"/>
              <w:kinsoku/>
              <w:wordWrap/>
              <w:overflowPunct/>
              <w:topLinePunct w:val="0"/>
              <w:bidi w:val="0"/>
              <w:adjustRightInd/>
              <w:snapToGrid/>
              <w:spacing w:line="360" w:lineRule="auto"/>
              <w:ind w:firstLine="0" w:firstLineChars="0"/>
              <w:jc w:val="center"/>
              <w:rPr>
                <w:rFonts w:hint="eastAsia" w:ascii="宋体" w:hAnsi="宋体" w:eastAsia="宋体" w:cs="宋体"/>
                <w:sz w:val="21"/>
                <w:szCs w:val="21"/>
              </w:rPr>
            </w:pPr>
            <w:r>
              <w:rPr>
                <w:rFonts w:hint="eastAsia" w:ascii="宋体" w:hAnsi="宋体" w:eastAsia="宋体" w:cs="宋体"/>
                <w:sz w:val="21"/>
                <w:szCs w:val="21"/>
              </w:rPr>
              <w:t>入围中标人数量</w:t>
            </w:r>
          </w:p>
        </w:tc>
        <w:tc>
          <w:tcPr>
            <w:tcW w:w="2083" w:type="pct"/>
            <w:noWrap w:val="0"/>
            <w:vAlign w:val="center"/>
          </w:tcPr>
          <w:p w14:paraId="07531FF3">
            <w:pPr>
              <w:pStyle w:val="5"/>
              <w:keepNext w:val="0"/>
              <w:keepLines w:val="0"/>
              <w:pageBreakBefore w:val="0"/>
              <w:kinsoku/>
              <w:wordWrap/>
              <w:overflowPunct/>
              <w:topLinePunct w:val="0"/>
              <w:bidi w:val="0"/>
              <w:adjustRightInd/>
              <w:snapToGrid/>
              <w:spacing w:line="360" w:lineRule="auto"/>
              <w:ind w:firstLine="0" w:firstLineChars="0"/>
              <w:jc w:val="center"/>
              <w:rPr>
                <w:rFonts w:hint="eastAsia" w:ascii="宋体" w:hAnsi="宋体" w:eastAsia="宋体" w:cs="宋体"/>
                <w:sz w:val="21"/>
                <w:szCs w:val="21"/>
              </w:rPr>
            </w:pPr>
            <w:r>
              <w:rPr>
                <w:rFonts w:hint="eastAsia" w:ascii="宋体" w:hAnsi="宋体" w:eastAsia="宋体" w:cs="宋体"/>
                <w:sz w:val="21"/>
                <w:szCs w:val="21"/>
              </w:rPr>
              <w:t>招标预算</w:t>
            </w:r>
          </w:p>
        </w:tc>
      </w:tr>
      <w:tr w14:paraId="1B9A5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8" w:type="pct"/>
            <w:noWrap w:val="0"/>
            <w:vAlign w:val="center"/>
          </w:tcPr>
          <w:p w14:paraId="4AFD35B3">
            <w:pPr>
              <w:keepNext w:val="0"/>
              <w:keepLines w:val="0"/>
              <w:pageBreakBefore w:val="0"/>
              <w:tabs>
                <w:tab w:val="left" w:pos="960"/>
              </w:tabs>
              <w:kinsoku/>
              <w:wordWrap/>
              <w:overflowPunct/>
              <w:topLinePunct w:val="0"/>
              <w:bidi w:val="0"/>
              <w:adjustRightInd/>
              <w:snapToGrid/>
              <w:spacing w:line="360" w:lineRule="auto"/>
              <w:jc w:val="center"/>
              <w:rPr>
                <w:rFonts w:hint="eastAsia" w:ascii="宋体" w:hAnsi="宋体" w:eastAsia="宋体" w:cs="宋体"/>
                <w:sz w:val="21"/>
                <w:szCs w:val="21"/>
              </w:rPr>
            </w:pPr>
            <w:r>
              <w:rPr>
                <w:rFonts w:hint="eastAsia" w:ascii="宋体" w:hAnsi="宋体" w:eastAsia="宋体" w:cs="宋体"/>
                <w:sz w:val="21"/>
                <w:szCs w:val="21"/>
              </w:rPr>
              <w:t>1</w:t>
            </w:r>
          </w:p>
        </w:tc>
        <w:tc>
          <w:tcPr>
            <w:tcW w:w="1234" w:type="pct"/>
            <w:noWrap w:val="0"/>
            <w:vAlign w:val="center"/>
          </w:tcPr>
          <w:p w14:paraId="7F7E0D7C">
            <w:pPr>
              <w:keepNext w:val="0"/>
              <w:keepLines w:val="0"/>
              <w:pageBreakBefore w:val="0"/>
              <w:tabs>
                <w:tab w:val="left" w:pos="960"/>
              </w:tabs>
              <w:kinsoku/>
              <w:wordWrap/>
              <w:overflowPunct/>
              <w:topLinePunct w:val="0"/>
              <w:bidi w:val="0"/>
              <w:adjustRightInd/>
              <w:snapToGrid/>
              <w:spacing w:line="360" w:lineRule="auto"/>
              <w:jc w:val="center"/>
              <w:rPr>
                <w:rFonts w:hint="eastAsia" w:ascii="宋体" w:hAnsi="宋体" w:eastAsia="宋体" w:cs="宋体"/>
                <w:sz w:val="21"/>
                <w:szCs w:val="21"/>
              </w:rPr>
            </w:pPr>
            <w:r>
              <w:rPr>
                <w:rFonts w:hint="eastAsia" w:ascii="宋体" w:hAnsi="宋体" w:eastAsia="宋体" w:cs="宋体"/>
                <w:sz w:val="21"/>
                <w:szCs w:val="21"/>
              </w:rPr>
              <w:t>广州、东莞、深圳等</w:t>
            </w:r>
          </w:p>
        </w:tc>
        <w:tc>
          <w:tcPr>
            <w:tcW w:w="1033" w:type="pct"/>
            <w:noWrap w:val="0"/>
            <w:vAlign w:val="center"/>
          </w:tcPr>
          <w:p w14:paraId="3CBA938D">
            <w:pPr>
              <w:keepNext w:val="0"/>
              <w:keepLines w:val="0"/>
              <w:pageBreakBefore w:val="0"/>
              <w:tabs>
                <w:tab w:val="left" w:pos="960"/>
              </w:tabs>
              <w:kinsoku/>
              <w:wordWrap/>
              <w:overflowPunct/>
              <w:topLinePunct w:val="0"/>
              <w:bidi w:val="0"/>
              <w:adjustRightInd/>
              <w:snapToGrid/>
              <w:spacing w:line="360" w:lineRule="auto"/>
              <w:jc w:val="center"/>
              <w:rPr>
                <w:rFonts w:hint="eastAsia" w:ascii="宋体" w:hAnsi="宋体" w:eastAsia="宋体" w:cs="宋体"/>
                <w:sz w:val="21"/>
                <w:szCs w:val="21"/>
              </w:rPr>
            </w:pPr>
            <w:r>
              <w:rPr>
                <w:rFonts w:hint="eastAsia" w:ascii="宋体" w:hAnsi="宋体" w:eastAsia="宋体" w:cs="宋体"/>
                <w:sz w:val="21"/>
                <w:szCs w:val="21"/>
              </w:rPr>
              <w:t>2名</w:t>
            </w:r>
          </w:p>
        </w:tc>
        <w:tc>
          <w:tcPr>
            <w:tcW w:w="2083" w:type="pct"/>
            <w:noWrap w:val="0"/>
            <w:vAlign w:val="center"/>
          </w:tcPr>
          <w:p w14:paraId="3C4DB30D">
            <w:pPr>
              <w:keepNext w:val="0"/>
              <w:keepLines w:val="0"/>
              <w:pageBreakBefore w:val="0"/>
              <w:tabs>
                <w:tab w:val="left" w:pos="960"/>
              </w:tabs>
              <w:kinsoku/>
              <w:wordWrap/>
              <w:overflowPunct/>
              <w:topLinePunct w:val="0"/>
              <w:bidi w:val="0"/>
              <w:adjustRightInd/>
              <w:snapToGrid/>
              <w:spacing w:line="360" w:lineRule="auto"/>
              <w:jc w:val="center"/>
              <w:rPr>
                <w:rFonts w:hint="eastAsia" w:ascii="宋体" w:hAnsi="宋体" w:cs="宋体"/>
                <w:szCs w:val="21"/>
              </w:rPr>
            </w:pPr>
            <w:r>
              <w:rPr>
                <w:rFonts w:hint="eastAsia" w:ascii="宋体" w:hAnsi="宋体" w:cs="宋体"/>
                <w:szCs w:val="21"/>
              </w:rPr>
              <w:t>200万元/两年</w:t>
            </w:r>
          </w:p>
          <w:p w14:paraId="46873C3A">
            <w:pPr>
              <w:keepNext w:val="0"/>
              <w:keepLines w:val="0"/>
              <w:pageBreakBefore w:val="0"/>
              <w:tabs>
                <w:tab w:val="left" w:pos="960"/>
              </w:tabs>
              <w:kinsoku/>
              <w:wordWrap/>
              <w:overflowPunct/>
              <w:topLinePunct w:val="0"/>
              <w:bidi w:val="0"/>
              <w:adjustRightInd/>
              <w:snapToGrid/>
              <w:spacing w:line="360" w:lineRule="auto"/>
              <w:jc w:val="center"/>
              <w:rPr>
                <w:rFonts w:hint="eastAsia" w:ascii="宋体" w:hAnsi="宋体" w:eastAsia="宋体" w:cs="宋体"/>
                <w:sz w:val="21"/>
                <w:szCs w:val="21"/>
                <w:lang w:eastAsia="zh-CN"/>
              </w:rPr>
            </w:pPr>
            <w:r>
              <w:rPr>
                <w:rFonts w:hint="eastAsia" w:ascii="宋体" w:hAnsi="宋体" w:cs="宋体"/>
                <w:szCs w:val="21"/>
                <w:lang w:eastAsia="zh-CN"/>
              </w:rPr>
              <w:t>（</w:t>
            </w:r>
            <w:r>
              <w:rPr>
                <w:rFonts w:hint="eastAsia" w:ascii="宋体" w:hAnsi="宋体" w:cs="宋体"/>
                <w:szCs w:val="21"/>
              </w:rPr>
              <w:t>单个委托项目预算金额不超过20万元</w:t>
            </w:r>
            <w:r>
              <w:rPr>
                <w:rFonts w:hint="eastAsia" w:ascii="宋体" w:hAnsi="宋体" w:cs="宋体"/>
                <w:szCs w:val="21"/>
                <w:lang w:eastAsia="zh-CN"/>
              </w:rPr>
              <w:t>）</w:t>
            </w:r>
          </w:p>
        </w:tc>
      </w:tr>
      <w:tr w14:paraId="6CA35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8" w:type="pct"/>
            <w:noWrap w:val="0"/>
            <w:vAlign w:val="center"/>
          </w:tcPr>
          <w:p w14:paraId="4CEA9D99">
            <w:pPr>
              <w:keepNext w:val="0"/>
              <w:keepLines w:val="0"/>
              <w:pageBreakBefore w:val="0"/>
              <w:tabs>
                <w:tab w:val="left" w:pos="960"/>
              </w:tabs>
              <w:kinsoku/>
              <w:wordWrap/>
              <w:overflowPunct/>
              <w:topLinePunct w:val="0"/>
              <w:bidi w:val="0"/>
              <w:adjustRightInd/>
              <w:snapToGrid/>
              <w:spacing w:line="360" w:lineRule="auto"/>
              <w:jc w:val="center"/>
              <w:rPr>
                <w:rFonts w:hint="eastAsia" w:ascii="宋体" w:hAnsi="宋体" w:eastAsia="宋体" w:cs="宋体"/>
                <w:sz w:val="21"/>
                <w:szCs w:val="21"/>
              </w:rPr>
            </w:pPr>
            <w:r>
              <w:rPr>
                <w:rFonts w:hint="eastAsia" w:ascii="宋体" w:hAnsi="宋体" w:eastAsia="宋体" w:cs="宋体"/>
                <w:sz w:val="21"/>
                <w:szCs w:val="21"/>
              </w:rPr>
              <w:t>2</w:t>
            </w:r>
          </w:p>
        </w:tc>
        <w:tc>
          <w:tcPr>
            <w:tcW w:w="1234" w:type="pct"/>
            <w:noWrap w:val="0"/>
            <w:vAlign w:val="center"/>
          </w:tcPr>
          <w:p w14:paraId="34C62019">
            <w:pPr>
              <w:keepNext w:val="0"/>
              <w:keepLines w:val="0"/>
              <w:pageBreakBefore w:val="0"/>
              <w:tabs>
                <w:tab w:val="left" w:pos="960"/>
              </w:tabs>
              <w:kinsoku/>
              <w:wordWrap/>
              <w:overflowPunct/>
              <w:topLinePunct w:val="0"/>
              <w:bidi w:val="0"/>
              <w:adjustRightInd/>
              <w:snapToGrid/>
              <w:spacing w:line="360" w:lineRule="auto"/>
              <w:jc w:val="center"/>
              <w:rPr>
                <w:rFonts w:hint="eastAsia" w:ascii="宋体" w:hAnsi="宋体" w:eastAsia="宋体" w:cs="宋体"/>
                <w:sz w:val="21"/>
                <w:szCs w:val="21"/>
              </w:rPr>
            </w:pPr>
            <w:r>
              <w:rPr>
                <w:rFonts w:hint="eastAsia" w:ascii="宋体" w:hAnsi="宋体" w:eastAsia="宋体" w:cs="宋体"/>
                <w:sz w:val="21"/>
                <w:szCs w:val="21"/>
              </w:rPr>
              <w:t>无锡</w:t>
            </w:r>
          </w:p>
        </w:tc>
        <w:tc>
          <w:tcPr>
            <w:tcW w:w="1033" w:type="pct"/>
            <w:noWrap w:val="0"/>
            <w:vAlign w:val="center"/>
          </w:tcPr>
          <w:p w14:paraId="2BAD6F0C">
            <w:pPr>
              <w:keepNext w:val="0"/>
              <w:keepLines w:val="0"/>
              <w:pageBreakBefore w:val="0"/>
              <w:tabs>
                <w:tab w:val="left" w:pos="960"/>
              </w:tabs>
              <w:kinsoku/>
              <w:wordWrap/>
              <w:overflowPunct/>
              <w:topLinePunct w:val="0"/>
              <w:bidi w:val="0"/>
              <w:adjustRightInd/>
              <w:snapToGrid/>
              <w:spacing w:line="360" w:lineRule="auto"/>
              <w:jc w:val="center"/>
              <w:rPr>
                <w:rFonts w:hint="eastAsia" w:ascii="宋体" w:hAnsi="宋体" w:eastAsia="宋体" w:cs="宋体"/>
                <w:sz w:val="21"/>
                <w:szCs w:val="21"/>
              </w:rPr>
            </w:pPr>
            <w:r>
              <w:rPr>
                <w:rFonts w:hint="eastAsia" w:ascii="宋体" w:hAnsi="宋体" w:eastAsia="宋体" w:cs="宋体"/>
                <w:sz w:val="21"/>
                <w:szCs w:val="21"/>
              </w:rPr>
              <w:t>1名</w:t>
            </w:r>
          </w:p>
        </w:tc>
        <w:tc>
          <w:tcPr>
            <w:tcW w:w="2083" w:type="pct"/>
            <w:noWrap w:val="0"/>
            <w:vAlign w:val="center"/>
          </w:tcPr>
          <w:p w14:paraId="3229D92C">
            <w:pPr>
              <w:keepNext w:val="0"/>
              <w:keepLines w:val="0"/>
              <w:pageBreakBefore w:val="0"/>
              <w:tabs>
                <w:tab w:val="left" w:pos="960"/>
              </w:tabs>
              <w:kinsoku/>
              <w:wordWrap/>
              <w:overflowPunct/>
              <w:topLinePunct w:val="0"/>
              <w:bidi w:val="0"/>
              <w:adjustRightInd/>
              <w:snapToGrid/>
              <w:spacing w:line="360" w:lineRule="auto"/>
              <w:jc w:val="center"/>
              <w:rPr>
                <w:rFonts w:hint="eastAsia" w:ascii="宋体" w:hAnsi="宋体" w:cs="宋体"/>
                <w:szCs w:val="21"/>
              </w:rPr>
            </w:pPr>
            <w:r>
              <w:rPr>
                <w:rFonts w:hint="eastAsia" w:ascii="宋体" w:hAnsi="宋体" w:cs="宋体"/>
                <w:szCs w:val="21"/>
              </w:rPr>
              <w:t>200万元/两年</w:t>
            </w:r>
          </w:p>
          <w:p w14:paraId="593A6AD3">
            <w:pPr>
              <w:keepNext w:val="0"/>
              <w:keepLines w:val="0"/>
              <w:pageBreakBefore w:val="0"/>
              <w:tabs>
                <w:tab w:val="left" w:pos="960"/>
              </w:tabs>
              <w:kinsoku/>
              <w:wordWrap/>
              <w:overflowPunct/>
              <w:topLinePunct w:val="0"/>
              <w:bidi w:val="0"/>
              <w:adjustRightInd/>
              <w:snapToGrid/>
              <w:spacing w:line="360" w:lineRule="auto"/>
              <w:jc w:val="center"/>
              <w:rPr>
                <w:rFonts w:hint="eastAsia" w:ascii="宋体" w:hAnsi="宋体" w:eastAsia="宋体" w:cs="宋体"/>
                <w:sz w:val="21"/>
                <w:szCs w:val="21"/>
              </w:rPr>
            </w:pPr>
            <w:r>
              <w:rPr>
                <w:rFonts w:hint="eastAsia" w:ascii="宋体" w:hAnsi="宋体" w:cs="宋体"/>
                <w:szCs w:val="21"/>
                <w:lang w:eastAsia="zh-CN"/>
              </w:rPr>
              <w:t>（</w:t>
            </w:r>
            <w:r>
              <w:rPr>
                <w:rFonts w:hint="eastAsia" w:ascii="宋体" w:hAnsi="宋体" w:cs="宋体"/>
                <w:szCs w:val="21"/>
              </w:rPr>
              <w:t>单个委托项目预算金额不超过20万元</w:t>
            </w:r>
            <w:r>
              <w:rPr>
                <w:rFonts w:hint="eastAsia" w:ascii="宋体" w:hAnsi="宋体" w:cs="宋体"/>
                <w:szCs w:val="21"/>
                <w:lang w:eastAsia="zh-CN"/>
              </w:rPr>
              <w:t>）</w:t>
            </w:r>
          </w:p>
        </w:tc>
      </w:tr>
      <w:tr w14:paraId="134F8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8" w:type="pct"/>
            <w:noWrap w:val="0"/>
            <w:vAlign w:val="center"/>
          </w:tcPr>
          <w:p w14:paraId="161556AF">
            <w:pPr>
              <w:keepNext w:val="0"/>
              <w:keepLines w:val="0"/>
              <w:pageBreakBefore w:val="0"/>
              <w:tabs>
                <w:tab w:val="left" w:pos="960"/>
              </w:tabs>
              <w:kinsoku/>
              <w:wordWrap/>
              <w:overflowPunct/>
              <w:topLinePunct w:val="0"/>
              <w:bidi w:val="0"/>
              <w:adjustRightInd/>
              <w:snapToGrid/>
              <w:spacing w:line="360" w:lineRule="auto"/>
              <w:jc w:val="center"/>
              <w:rPr>
                <w:rFonts w:hint="eastAsia" w:ascii="宋体" w:hAnsi="宋体" w:eastAsia="宋体" w:cs="宋体"/>
                <w:sz w:val="21"/>
                <w:szCs w:val="21"/>
              </w:rPr>
            </w:pPr>
            <w:r>
              <w:rPr>
                <w:rFonts w:hint="eastAsia" w:ascii="宋体" w:hAnsi="宋体" w:eastAsia="宋体" w:cs="宋体"/>
                <w:sz w:val="21"/>
                <w:szCs w:val="21"/>
              </w:rPr>
              <w:t>3</w:t>
            </w:r>
          </w:p>
        </w:tc>
        <w:tc>
          <w:tcPr>
            <w:tcW w:w="1234" w:type="pct"/>
            <w:noWrap w:val="0"/>
            <w:vAlign w:val="center"/>
          </w:tcPr>
          <w:p w14:paraId="11FE2A57">
            <w:pPr>
              <w:keepNext w:val="0"/>
              <w:keepLines w:val="0"/>
              <w:pageBreakBefore w:val="0"/>
              <w:tabs>
                <w:tab w:val="left" w:pos="960"/>
              </w:tabs>
              <w:kinsoku/>
              <w:wordWrap/>
              <w:overflowPunct/>
              <w:topLinePunct w:val="0"/>
              <w:bidi w:val="0"/>
              <w:adjustRightInd/>
              <w:snapToGrid/>
              <w:spacing w:line="360" w:lineRule="auto"/>
              <w:jc w:val="center"/>
              <w:rPr>
                <w:rFonts w:hint="eastAsia" w:ascii="宋体" w:hAnsi="宋体" w:eastAsia="宋体" w:cs="宋体"/>
                <w:sz w:val="21"/>
                <w:szCs w:val="21"/>
              </w:rPr>
            </w:pPr>
            <w:r>
              <w:rPr>
                <w:rFonts w:hint="eastAsia" w:ascii="宋体" w:hAnsi="宋体" w:eastAsia="宋体" w:cs="宋体"/>
                <w:sz w:val="21"/>
                <w:szCs w:val="21"/>
              </w:rPr>
              <w:t>四川、成都、贵阳</w:t>
            </w:r>
          </w:p>
        </w:tc>
        <w:tc>
          <w:tcPr>
            <w:tcW w:w="1033" w:type="pct"/>
            <w:noWrap w:val="0"/>
            <w:vAlign w:val="center"/>
          </w:tcPr>
          <w:p w14:paraId="4AF3C095">
            <w:pPr>
              <w:keepNext w:val="0"/>
              <w:keepLines w:val="0"/>
              <w:pageBreakBefore w:val="0"/>
              <w:tabs>
                <w:tab w:val="left" w:pos="960"/>
              </w:tabs>
              <w:kinsoku/>
              <w:wordWrap/>
              <w:overflowPunct/>
              <w:topLinePunct w:val="0"/>
              <w:bidi w:val="0"/>
              <w:adjustRightInd/>
              <w:snapToGrid/>
              <w:spacing w:line="360" w:lineRule="auto"/>
              <w:jc w:val="center"/>
              <w:rPr>
                <w:rFonts w:hint="eastAsia" w:ascii="宋体" w:hAnsi="宋体" w:eastAsia="宋体" w:cs="宋体"/>
                <w:sz w:val="21"/>
                <w:szCs w:val="21"/>
              </w:rPr>
            </w:pPr>
            <w:r>
              <w:rPr>
                <w:rFonts w:hint="eastAsia" w:ascii="宋体" w:hAnsi="宋体" w:eastAsia="宋体" w:cs="宋体"/>
                <w:sz w:val="21"/>
                <w:szCs w:val="21"/>
              </w:rPr>
              <w:t>1名</w:t>
            </w:r>
          </w:p>
        </w:tc>
        <w:tc>
          <w:tcPr>
            <w:tcW w:w="2083" w:type="pct"/>
            <w:noWrap w:val="0"/>
            <w:vAlign w:val="center"/>
          </w:tcPr>
          <w:p w14:paraId="31F50886">
            <w:pPr>
              <w:keepNext w:val="0"/>
              <w:keepLines w:val="0"/>
              <w:pageBreakBefore w:val="0"/>
              <w:tabs>
                <w:tab w:val="left" w:pos="960"/>
              </w:tabs>
              <w:kinsoku/>
              <w:wordWrap/>
              <w:overflowPunct/>
              <w:topLinePunct w:val="0"/>
              <w:bidi w:val="0"/>
              <w:adjustRightInd/>
              <w:snapToGrid/>
              <w:spacing w:line="360" w:lineRule="auto"/>
              <w:jc w:val="center"/>
              <w:rPr>
                <w:rFonts w:hint="eastAsia" w:ascii="宋体" w:hAnsi="宋体" w:cs="宋体"/>
                <w:szCs w:val="21"/>
              </w:rPr>
            </w:pPr>
            <w:r>
              <w:rPr>
                <w:rFonts w:hint="eastAsia" w:ascii="宋体" w:hAnsi="宋体" w:cs="宋体"/>
                <w:szCs w:val="21"/>
              </w:rPr>
              <w:t>100万/两年</w:t>
            </w:r>
          </w:p>
          <w:p w14:paraId="665FE64E">
            <w:pPr>
              <w:pStyle w:val="2"/>
              <w:ind w:left="0" w:leftChars="0" w:firstLine="0" w:firstLineChars="0"/>
              <w:rPr>
                <w:rFonts w:hint="eastAsia"/>
              </w:rPr>
            </w:pPr>
            <w:r>
              <w:rPr>
                <w:rFonts w:hint="eastAsia" w:ascii="宋体" w:hAnsi="宋体" w:cs="宋体"/>
                <w:szCs w:val="21"/>
                <w:lang w:eastAsia="zh-CN"/>
              </w:rPr>
              <w:t>（</w:t>
            </w:r>
            <w:r>
              <w:rPr>
                <w:rFonts w:hint="eastAsia" w:ascii="宋体" w:hAnsi="宋体" w:cs="宋体"/>
                <w:szCs w:val="21"/>
              </w:rPr>
              <w:t>单个委托项目预算金额不超过20万元</w:t>
            </w:r>
            <w:r>
              <w:rPr>
                <w:rFonts w:hint="eastAsia" w:ascii="宋体" w:hAnsi="宋体" w:cs="宋体"/>
                <w:szCs w:val="21"/>
                <w:lang w:eastAsia="zh-CN"/>
              </w:rPr>
              <w:t>）</w:t>
            </w:r>
          </w:p>
        </w:tc>
      </w:tr>
      <w:tr w14:paraId="45694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5000" w:type="pct"/>
            <w:gridSpan w:val="4"/>
            <w:noWrap w:val="0"/>
            <w:vAlign w:val="center"/>
          </w:tcPr>
          <w:p w14:paraId="06912337">
            <w:pPr>
              <w:keepNext w:val="0"/>
              <w:keepLines w:val="0"/>
              <w:pageBreakBefore w:val="0"/>
              <w:tabs>
                <w:tab w:val="left" w:pos="960"/>
              </w:tabs>
              <w:kinsoku/>
              <w:wordWrap/>
              <w:overflowPunct/>
              <w:topLinePunct w:val="0"/>
              <w:bidi w:val="0"/>
              <w:adjustRightInd/>
              <w:snapToGrid/>
              <w:spacing w:line="360" w:lineRule="auto"/>
              <w:rPr>
                <w:rFonts w:hint="eastAsia" w:ascii="宋体" w:hAnsi="宋体" w:eastAsia="宋体" w:cs="宋体"/>
                <w:sz w:val="21"/>
                <w:szCs w:val="21"/>
              </w:rPr>
            </w:pPr>
            <w:r>
              <w:rPr>
                <w:rFonts w:hint="eastAsia" w:ascii="宋体" w:hAnsi="宋体" w:eastAsia="宋体" w:cs="宋体"/>
                <w:sz w:val="21"/>
                <w:szCs w:val="21"/>
              </w:rPr>
              <w:t>包组1派单原则：招标人根据项目实际情况、服务能力、工作需要以及考核情况进行分配，在入围单位范围内自行确定承接单位并分配业务。</w:t>
            </w:r>
          </w:p>
        </w:tc>
      </w:tr>
    </w:tbl>
    <w:p w14:paraId="33DEEB75">
      <w:pPr>
        <w:keepNext w:val="0"/>
        <w:keepLines w:val="0"/>
        <w:pageBreakBefore w:val="0"/>
        <w:kinsoku/>
        <w:wordWrap/>
        <w:overflowPunct/>
        <w:topLinePunct w:val="0"/>
        <w:bidi w:val="0"/>
        <w:adjustRightInd/>
        <w:snapToGrid/>
        <w:spacing w:line="360" w:lineRule="auto"/>
        <w:rPr>
          <w:rFonts w:hint="eastAsia" w:ascii="宋体" w:hAnsi="宋体" w:eastAsia="宋体" w:cs="宋体"/>
          <w:sz w:val="21"/>
          <w:szCs w:val="21"/>
        </w:rPr>
      </w:pPr>
      <w:r>
        <w:rPr>
          <w:rFonts w:hint="eastAsia" w:ascii="宋体" w:hAnsi="宋体" w:eastAsia="宋体" w:cs="宋体"/>
          <w:sz w:val="21"/>
          <w:szCs w:val="21"/>
        </w:rPr>
        <w:t>（注：1、投标人可对单个或多个包组进行投标，本项目允许兼投、不允许兼中。若投标人对多个包组进行投标，须提前明确中标意向包组排序。2、投标人所报不含税综合单价合计不得超过上述对应区域综合单价合计限价，否则按无效投标处理。）</w:t>
      </w:r>
    </w:p>
    <w:p w14:paraId="4028B3A8"/>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293179A"/>
    <w:rsid w:val="329317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customStyle="1" w:styleId="2">
    <w:name w:val="正文格式"/>
    <w:basedOn w:val="1"/>
    <w:qFormat/>
    <w:uiPriority w:val="99"/>
    <w:pPr>
      <w:adjustRightInd w:val="0"/>
      <w:spacing w:line="400" w:lineRule="atLeast"/>
      <w:ind w:firstLine="482"/>
      <w:textAlignment w:val="baseline"/>
    </w:pPr>
  </w:style>
  <w:style w:type="paragraph" w:styleId="5">
    <w:name w:val="List Paragraph"/>
    <w:basedOn w:val="1"/>
    <w:qFormat/>
    <w:uiPriority w:val="0"/>
    <w:pPr>
      <w:widowControl/>
      <w:ind w:firstLine="420" w:firstLineChars="200"/>
      <w:jc w:val="left"/>
    </w:pPr>
    <w:rPr>
      <w:rFonts w:ascii="Times New Roman" w:hAnsi="Times New Roman" w:eastAsia="宋体" w:cs="Times New Roman"/>
      <w:kern w:val="0"/>
      <w:sz w:val="20"/>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2026-03-02T09:36:00Z</dcterms:created>
  <dc:creator>国科-小李</dc:creator>
  <cp:lastModifiedBy>国科-小李</cp:lastModifiedBy>
  <dcterms:modified xsi:type="dcterms:W3CDTF">2026-03-02T09:42:57Z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BA75484B83D142F483564A47AEA4E36F_11</vt:lpwstr>
  </property>
  <property fmtid="{D5CDD505-2E9C-101B-9397-08002B2CF9AE}" pid="4" name="KSOTemplateDocerSaveRecord">
    <vt:lpwstr>eyJoZGlkIjoiNmU0MTEzNTNjNGRjYmNiZjllNzQwOTA0MGNkNjU2OGUiLCJ1c2VySWQiOiIzODYzODkxOTkifQ==</vt:lpwstr>
  </property>
</Properties>
</file>